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71" w:rsidRDefault="008D4171" w:rsidP="008D4171">
      <w:pPr>
        <w:jc w:val="center"/>
        <w:rPr>
          <w:b/>
          <w:sz w:val="36"/>
          <w:szCs w:val="36"/>
        </w:rPr>
      </w:pPr>
      <w:r w:rsidRPr="008D4171">
        <w:rPr>
          <w:b/>
          <w:sz w:val="36"/>
          <w:szCs w:val="36"/>
        </w:rPr>
        <w:t>ORDEN DEL DÍA</w:t>
      </w:r>
    </w:p>
    <w:p w:rsidR="008D4171" w:rsidRDefault="008D4171" w:rsidP="008D4171">
      <w:pPr>
        <w:rPr>
          <w:sz w:val="36"/>
          <w:szCs w:val="36"/>
        </w:rPr>
      </w:pPr>
    </w:p>
    <w:p w:rsidR="008D4171" w:rsidRPr="008D4171" w:rsidRDefault="008D4171" w:rsidP="008D4171">
      <w:pPr>
        <w:numPr>
          <w:ilvl w:val="0"/>
          <w:numId w:val="1"/>
        </w:numPr>
        <w:spacing w:after="4" w:line="251" w:lineRule="auto"/>
        <w:ind w:right="1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8D41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Lectura y consideración del </w:t>
      </w:r>
      <w:r w:rsidRPr="008D417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Acta de la Sesión Ordinaria del 2 de noviembre de 2022.</w:t>
      </w:r>
    </w:p>
    <w:p w:rsidR="008D4171" w:rsidRPr="008D4171" w:rsidRDefault="008D4171" w:rsidP="008D4171">
      <w:pPr>
        <w:ind w:left="720" w:right="1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8D4171" w:rsidRPr="008D4171" w:rsidRDefault="008D4171" w:rsidP="008D4171">
      <w:pPr>
        <w:numPr>
          <w:ilvl w:val="0"/>
          <w:numId w:val="1"/>
        </w:numPr>
        <w:spacing w:after="4" w:line="251" w:lineRule="auto"/>
        <w:ind w:right="1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8D417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Proyecto de Ordenanza </w:t>
      </w:r>
      <w:r w:rsidRPr="008D41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Presupuesto de Gastos y Calculo de Recursos 2023</w:t>
      </w:r>
      <w:r w:rsidRPr="008D417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Pr="008D41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(Presentado por Departamento Ejecutivo Municipal el 31 de octubre de 2022)</w:t>
      </w:r>
    </w:p>
    <w:p w:rsidR="008D4171" w:rsidRPr="008D4171" w:rsidRDefault="008D4171" w:rsidP="008D4171">
      <w:pPr>
        <w:numPr>
          <w:ilvl w:val="0"/>
          <w:numId w:val="1"/>
        </w:numPr>
        <w:spacing w:after="4" w:line="251" w:lineRule="auto"/>
        <w:ind w:right="32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8D417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Proyecto de Ordenanza</w:t>
      </w:r>
      <w:r w:rsidRPr="008D41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Código Tributario Municipal 2023 (Presentado por Departamento Ejecutivo Municipal el 4 de noviembre de 2022)</w:t>
      </w:r>
    </w:p>
    <w:p w:rsidR="008D4171" w:rsidRPr="008D4171" w:rsidRDefault="008D4171" w:rsidP="008D4171">
      <w:pPr>
        <w:spacing w:after="4" w:line="251" w:lineRule="auto"/>
        <w:ind w:left="720" w:right="32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:rsidR="008D4171" w:rsidRPr="008D4171" w:rsidRDefault="008D4171" w:rsidP="008D4171">
      <w:pPr>
        <w:numPr>
          <w:ilvl w:val="0"/>
          <w:numId w:val="1"/>
        </w:numPr>
        <w:spacing w:after="4" w:line="251" w:lineRule="auto"/>
        <w:ind w:right="1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8D4171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Proyecto de Ordenanza </w:t>
      </w:r>
      <w:r w:rsidRPr="008D417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Ampliación red colectoras cloacales en calle Angelini, una cuadra, entre calles </w:t>
      </w:r>
      <w:proofErr w:type="spellStart"/>
      <w:r w:rsidRPr="008D4171">
        <w:rPr>
          <w:rFonts w:ascii="Arial" w:eastAsia="Times New Roman" w:hAnsi="Arial" w:cs="Arial"/>
          <w:sz w:val="24"/>
          <w:szCs w:val="24"/>
          <w:lang w:val="es-ES_tradnl" w:eastAsia="es-ES_tradnl"/>
        </w:rPr>
        <w:t>Bv</w:t>
      </w:r>
      <w:proofErr w:type="spellEnd"/>
      <w:r w:rsidRPr="008D4171">
        <w:rPr>
          <w:rFonts w:ascii="Arial" w:eastAsia="Times New Roman" w:hAnsi="Arial" w:cs="Arial"/>
          <w:sz w:val="24"/>
          <w:szCs w:val="24"/>
          <w:lang w:val="es-ES_tradnl" w:eastAsia="es-ES_tradnl"/>
        </w:rPr>
        <w:t>. Libertad y Julio Solari, lindante con Manzana Nº 113 y 114 (Presentado por Departamento Ejecutivo Municipal el 4 de noviembre de 2022)</w:t>
      </w:r>
    </w:p>
    <w:p w:rsidR="008D4171" w:rsidRPr="008D4171" w:rsidRDefault="008D4171" w:rsidP="008D4171">
      <w:pPr>
        <w:spacing w:after="4" w:line="251" w:lineRule="auto"/>
        <w:ind w:left="720" w:right="324" w:hanging="10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8D4171" w:rsidRPr="008D4171" w:rsidRDefault="008D4171" w:rsidP="008D4171">
      <w:pPr>
        <w:numPr>
          <w:ilvl w:val="0"/>
          <w:numId w:val="1"/>
        </w:numPr>
        <w:spacing w:after="4" w:line="251" w:lineRule="auto"/>
        <w:ind w:right="1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8D4171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Proyecto de Ordenanza</w:t>
      </w:r>
      <w:r w:rsidRPr="008D417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Declarando de utilidad pública y obligatorio pago obra Construcción de Pavimento de hormigón armado en calle Maestras </w:t>
      </w:r>
      <w:proofErr w:type="spellStart"/>
      <w:r w:rsidRPr="008D4171">
        <w:rPr>
          <w:rFonts w:ascii="Arial" w:eastAsia="Times New Roman" w:hAnsi="Arial" w:cs="Arial"/>
          <w:sz w:val="24"/>
          <w:szCs w:val="24"/>
          <w:lang w:val="es-ES_tradnl" w:eastAsia="es-ES_tradnl"/>
        </w:rPr>
        <w:t>Almafuertinas</w:t>
      </w:r>
      <w:proofErr w:type="spellEnd"/>
      <w:r w:rsidRPr="008D417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, una cuadra, tramo comprendido entre Convención Constituyente hacia el Sur (el </w:t>
      </w:r>
      <w:proofErr w:type="spellStart"/>
      <w:r w:rsidRPr="008D4171">
        <w:rPr>
          <w:rFonts w:ascii="Arial" w:eastAsia="Times New Roman" w:hAnsi="Arial" w:cs="Arial"/>
          <w:sz w:val="24"/>
          <w:szCs w:val="24"/>
          <w:lang w:val="es-ES_tradnl" w:eastAsia="es-ES_tradnl"/>
        </w:rPr>
        <w:t>Eucaliptal</w:t>
      </w:r>
      <w:proofErr w:type="spellEnd"/>
      <w:r w:rsidRPr="008D4171">
        <w:rPr>
          <w:rFonts w:ascii="Arial" w:eastAsia="Times New Roman" w:hAnsi="Arial" w:cs="Arial"/>
          <w:sz w:val="24"/>
          <w:szCs w:val="24"/>
          <w:lang w:val="es-ES_tradnl" w:eastAsia="es-ES_tradnl"/>
        </w:rPr>
        <w:t>) (Presentado por Departamento Ejecutivo Municipal el 4 de noviembre de 2022)</w:t>
      </w:r>
    </w:p>
    <w:p w:rsidR="008D4171" w:rsidRPr="008D4171" w:rsidRDefault="008D4171" w:rsidP="008D4171">
      <w:pPr>
        <w:spacing w:after="4" w:line="251" w:lineRule="auto"/>
        <w:ind w:left="10" w:right="324" w:hanging="10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ES_tradnl"/>
        </w:rPr>
      </w:pPr>
      <w:r w:rsidRPr="008D417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ab/>
      </w:r>
    </w:p>
    <w:p w:rsidR="008D4171" w:rsidRPr="008D4171" w:rsidRDefault="008D4171" w:rsidP="008D4171">
      <w:pPr>
        <w:numPr>
          <w:ilvl w:val="0"/>
          <w:numId w:val="1"/>
        </w:numPr>
        <w:spacing w:after="4" w:line="251" w:lineRule="auto"/>
        <w:ind w:right="1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8D4171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Proyecto de Ordenanza</w:t>
      </w:r>
      <w:r w:rsidRPr="008D417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Declarando de utilidad pública y obligatorio pago obra Construcción de Pavimento de hormigón armado calle Italia, una cuadra, tramo comprendido entre calles Santiago del Estero y Avellaneda (Presentado por Departamento Ejecutivo Municipal el 4 de noviembre de 2022)</w:t>
      </w:r>
    </w:p>
    <w:p w:rsidR="008D4171" w:rsidRPr="008D4171" w:rsidRDefault="008D4171" w:rsidP="008D4171">
      <w:pPr>
        <w:numPr>
          <w:ilvl w:val="0"/>
          <w:numId w:val="1"/>
        </w:numPr>
        <w:spacing w:after="4" w:line="251" w:lineRule="auto"/>
        <w:ind w:right="324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8D4171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Proyecto de Ordenanza</w:t>
      </w:r>
      <w:r w:rsidRPr="008D417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Declarando de utilidad pública y obligatorio pago obra Construcción de Pavimento de hormigón armado calle Santiago del Estero, una cuadra, tramo comprendido entre </w:t>
      </w:r>
      <w:proofErr w:type="spellStart"/>
      <w:r w:rsidRPr="008D4171">
        <w:rPr>
          <w:rFonts w:ascii="Arial" w:eastAsia="Times New Roman" w:hAnsi="Arial" w:cs="Arial"/>
          <w:sz w:val="24"/>
          <w:szCs w:val="24"/>
          <w:lang w:val="es-ES_tradnl" w:eastAsia="es-ES_tradnl"/>
        </w:rPr>
        <w:t>Bv</w:t>
      </w:r>
      <w:proofErr w:type="spellEnd"/>
      <w:r w:rsidRPr="008D4171">
        <w:rPr>
          <w:rFonts w:ascii="Arial" w:eastAsia="Times New Roman" w:hAnsi="Arial" w:cs="Arial"/>
          <w:sz w:val="24"/>
          <w:szCs w:val="24"/>
          <w:lang w:val="es-ES_tradnl" w:eastAsia="es-ES_tradnl"/>
        </w:rPr>
        <w:t>. Independencia e Italia (Presentado por Departamento Ejecutivo Municipal el 4 de noviembre de 2022)</w:t>
      </w:r>
    </w:p>
    <w:p w:rsidR="008D4171" w:rsidRPr="008D4171" w:rsidRDefault="008D4171" w:rsidP="008D4171">
      <w:pPr>
        <w:spacing w:after="4" w:line="251" w:lineRule="auto"/>
        <w:ind w:left="720" w:right="324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8D4171" w:rsidRPr="008D4171" w:rsidRDefault="008D4171" w:rsidP="008D4171">
      <w:pPr>
        <w:numPr>
          <w:ilvl w:val="0"/>
          <w:numId w:val="1"/>
        </w:numPr>
        <w:spacing w:after="4" w:line="251" w:lineRule="auto"/>
        <w:ind w:right="324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8D4171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Proyecto de Ordenanza</w:t>
      </w:r>
      <w:r w:rsidRPr="008D4171">
        <w:rPr>
          <w:rFonts w:ascii="Arial" w:eastAsia="Times New Roman" w:hAnsi="Arial" w:cs="Arial"/>
          <w:sz w:val="24"/>
          <w:szCs w:val="24"/>
          <w:lang w:val="es-ES_tradnl" w:eastAsia="es-ES_tradnl"/>
        </w:rPr>
        <w:t xml:space="preserve"> Desafectación terreno para la construcción de una nueva escuela primaria (Presentado por Departamento Ejecutivo Municipal el 10 de noviembre de 2022)</w:t>
      </w:r>
    </w:p>
    <w:p w:rsidR="008D4171" w:rsidRPr="008D4171" w:rsidRDefault="008D4171" w:rsidP="008D4171">
      <w:pPr>
        <w:ind w:left="720" w:right="1"/>
        <w:contextualSpacing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B10D8E" w:rsidRPr="008D4171" w:rsidRDefault="00B10D8E" w:rsidP="008D4171">
      <w:pPr>
        <w:rPr>
          <w:sz w:val="36"/>
          <w:szCs w:val="36"/>
        </w:rPr>
      </w:pPr>
      <w:bookmarkStart w:id="0" w:name="_GoBack"/>
      <w:bookmarkEnd w:id="0"/>
    </w:p>
    <w:sectPr w:rsidR="00B10D8E" w:rsidRPr="008D41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7149"/>
    <w:multiLevelType w:val="hybridMultilevel"/>
    <w:tmpl w:val="55A63054"/>
    <w:lvl w:ilvl="0" w:tplc="300C853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A"/>
    <w:rsid w:val="008D4171"/>
    <w:rsid w:val="00B10D8E"/>
    <w:rsid w:val="00C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97909C-260C-4259-B7E4-F427B55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Company>GP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2022-11-14T11:05:00Z</dcterms:created>
  <dcterms:modified xsi:type="dcterms:W3CDTF">2022-11-14T11:05:00Z</dcterms:modified>
</cp:coreProperties>
</file>